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40" w:leftChars="-200" w:right="-17" w:firstLine="0" w:firstLineChars="0"/>
        <w:jc w:val="center"/>
        <w:rPr>
          <w:rFonts w:ascii="Arial" w:hAnsi="Arial" w:cs="Arial"/>
          <w:b/>
        </w:rPr>
      </w:pPr>
      <w:bookmarkStart w:id="0" w:name="_Hlk142658039"/>
      <w:r>
        <w:rPr>
          <w:rFonts w:ascii="Arial" w:hAnsi="Arial" w:cs="Arial"/>
          <w:b/>
        </w:rPr>
        <w:t>ANEXO VI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45.220/2025</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90.025/2026</w:t>
      </w:r>
      <w:r>
        <w:rPr>
          <w:rFonts w:ascii="Arial" w:hAnsi="Arial" w:cs="Arial"/>
          <w:sz w:val="22"/>
          <w:szCs w:val="22"/>
        </w:rPr>
        <w:t>, mediante as cláusulas e condições a seguir enunciadas.</w:t>
      </w:r>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hint="default" w:ascii="Arial" w:hAnsi="Arial" w:eastAsia="Times New Roman" w:cs="Arial"/>
          <w:b/>
          <w:bCs/>
          <w:sz w:val="22"/>
          <w:szCs w:val="22"/>
          <w:rtl w:val="0"/>
          <w:lang w:val="pt-BR"/>
        </w:rPr>
        <w:t>AQUISIÇÃO DE MÁQUINAS INDUSTRIAIS DESTINADAS À COSTURA E MONTAGEM DE ESTOPAS DE TECIDO, COM SISTEMA AUTOMATIZADO DE ALIMENTAÇÃO E CORTE, APROPRIADA PARA USO CONTÍNUO EM LINHA DE PRODUÇÃO,  PARA ATENDER AS NECESSIDADES DE DESTINAÇÃO DE RESÍDUOS TÊXTEIS E DE SUSTENTABILIDADE DO MUNICÍPIO DE NOVA FRIBURGO</w:t>
      </w:r>
      <w:r>
        <w:rPr>
          <w:rFonts w:ascii="Arial" w:hAnsi="Arial" w:cs="Arial"/>
          <w:bCs/>
          <w:iCs/>
        </w:rPr>
        <w:t>, 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tabs>
          <w:tab w:val="left" w:pos="426"/>
        </w:tabs>
        <w:autoSpaceDE/>
        <w:autoSpaceDN/>
        <w:spacing w:before="120" w:after="120" w:line="276" w:lineRule="auto"/>
        <w:ind w:left="0"/>
        <w:jc w:val="both"/>
        <w:rPr>
          <w:rFonts w:ascii="Arial" w:hAnsi="Arial" w:cs="Arial"/>
          <w:iCs/>
        </w:rPr>
      </w:pPr>
    </w:p>
    <w:p>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numPr>
          <w:ilvl w:val="0"/>
          <w:numId w:val="0"/>
        </w:numPr>
        <w:tabs>
          <w:tab w:val="left" w:pos="426"/>
        </w:tabs>
        <w:autoSpaceDE/>
        <w:autoSpaceDN/>
        <w:spacing w:before="120" w:after="120" w:line="276" w:lineRule="auto"/>
        <w:ind w:left="142" w:leftChars="0"/>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prazo de vigência da contratação é de .............................. contados do(a) ............................., na forma do </w:t>
      </w:r>
      <w:r>
        <w:fldChar w:fldCharType="begin"/>
      </w:r>
      <w:r>
        <w:instrText xml:space="preserve"> HYPERLINK "http://www.planalto.gov.br/ccivil_03/_ato2019-2022/2021/lei/L14133.htm" \l "art105" </w:instrText>
      </w:r>
      <w:r>
        <w:fldChar w:fldCharType="separate"/>
      </w:r>
      <w:r>
        <w:rPr>
          <w:rFonts w:ascii="Arial" w:hAnsi="Arial" w:cs="Arial"/>
        </w:rPr>
        <w:t>artigo 105 da Lei n° 14.133, de 2021</w:t>
      </w:r>
      <w:r>
        <w:rPr>
          <w:rFonts w:ascii="Arial" w:hAnsi="Arial" w:cs="Arial"/>
        </w:rPr>
        <w:fldChar w:fldCharType="end"/>
      </w:r>
      <w:r>
        <w:rPr>
          <w:rFonts w:ascii="Arial" w:hAnsi="Arial" w:cs="Arial"/>
          <w:bCs/>
          <w:iCs/>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FF0000"/>
        </w:rPr>
      </w:pPr>
      <w:r>
        <w:rPr>
          <w:rFonts w:ascii="Arial" w:hAnsi="Arial" w:cs="Arial"/>
          <w:bCs/>
          <w:iCs/>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
          <w:bCs w:val="0"/>
          <w:iCs/>
          <w:u w:val="single"/>
        </w:rPr>
      </w:pPr>
      <w:r>
        <w:rPr>
          <w:rFonts w:ascii="Arial" w:hAnsi="Arial" w:cs="Arial"/>
          <w:b/>
          <w:bCs w:val="0"/>
          <w:iCs/>
          <w:u w:val="single"/>
          <w:rtl w:val="0"/>
        </w:rPr>
        <w:t>MODELO DE EXECUÇÃO DO OBJETO (arts. 6º, XXIII, alínea “e” e 40, §1º, inciso II, da Lei nº 14.133/2021)</w:t>
      </w:r>
      <w:r>
        <w:rPr>
          <w:rFonts w:hint="default" w:ascii="Arial" w:hAnsi="Arial" w:cs="Arial"/>
          <w:b/>
          <w:bCs w:val="0"/>
          <w:iCs/>
          <w:u w:val="single"/>
          <w:rtl w:val="0"/>
          <w:lang w:val="pt-BR"/>
        </w:rPr>
        <w:t>:</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rtl w:val="0"/>
        </w:rPr>
      </w:pPr>
      <w:r>
        <w:rPr>
          <w:rFonts w:hint="default" w:ascii="Arial" w:hAnsi="Arial" w:cs="Arial"/>
          <w:bCs/>
          <w:iCs/>
          <w:rtl w:val="0"/>
          <w:lang w:val="pt-BR"/>
        </w:rPr>
        <w:t>3.1.2</w:t>
      </w:r>
      <w:r>
        <w:rPr>
          <w:rFonts w:ascii="Arial" w:hAnsi="Arial" w:cs="Arial"/>
          <w:bCs/>
          <w:iCs/>
          <w:rtl w:val="0"/>
        </w:rPr>
        <w:t xml:space="preserve"> O prazo de entrega/execução é de 30 (trinta) dias, contados do dia seguinte ao recebimento da Nota de Empenho, Autorização de fornecimento ou documento equivalente.</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rtl w:val="0"/>
          <w:lang w:val="pt-BR"/>
        </w:rPr>
        <w:t>3.1.3</w:t>
      </w:r>
      <w:r>
        <w:rPr>
          <w:rFonts w:ascii="Arial" w:hAnsi="Arial" w:cs="Arial"/>
          <w:bCs/>
          <w:iCs/>
          <w:rtl w:val="0"/>
        </w:rPr>
        <w:t xml:space="preserve"> 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rtl w:val="0"/>
          <w:lang w:val="pt-BR"/>
        </w:rPr>
        <w:t>3.1.4</w:t>
      </w:r>
      <w:r>
        <w:rPr>
          <w:rFonts w:ascii="Arial" w:hAnsi="Arial" w:cs="Arial"/>
          <w:bCs/>
          <w:iCs/>
          <w:rtl w:val="0"/>
        </w:rPr>
        <w:t xml:space="preserve"> Os bens deverão ser entregues no seguinte endereço: Avenida Alberto Braune, nº 225 - Centro (Antiga Rodoviária Leopoldina).</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lang w:val="pt-BR"/>
        </w:rPr>
      </w:pPr>
      <w:r>
        <w:rPr>
          <w:rFonts w:hint="default" w:ascii="Arial" w:hAnsi="Arial" w:cs="Arial"/>
          <w:bCs/>
          <w:iCs/>
          <w:rtl w:val="0"/>
          <w:lang w:val="pt-BR"/>
        </w:rPr>
        <w:t xml:space="preserve">3.1.5 </w:t>
      </w:r>
      <w:r>
        <w:rPr>
          <w:rFonts w:ascii="Arial" w:hAnsi="Arial" w:cs="Arial"/>
          <w:bCs/>
          <w:iCs/>
          <w:rtl w:val="0"/>
        </w:rPr>
        <w:t>Os bens serão recebidos provisoriamente, de forma sumária, no prazo de 20 (vinte) dias, pelo(a) responsável pelo acompanhamento e fiscalização do contrato, para efeito de posterior verificação de sua conformidade com as especificações constantes n</w:t>
      </w:r>
      <w:r>
        <w:rPr>
          <w:rFonts w:hint="default" w:ascii="Arial" w:hAnsi="Arial" w:cs="Arial"/>
          <w:bCs/>
          <w:iCs/>
          <w:rtl w:val="0"/>
          <w:lang w:val="pt-BR"/>
        </w:rPr>
        <w:t>o</w:t>
      </w:r>
      <w:r>
        <w:rPr>
          <w:rFonts w:ascii="Arial" w:hAnsi="Arial" w:cs="Arial"/>
          <w:bCs/>
          <w:iCs/>
          <w:rtl w:val="0"/>
        </w:rPr>
        <w:t xml:space="preserve"> Termo de Referência e na proposta</w:t>
      </w:r>
      <w:r>
        <w:rPr>
          <w:rFonts w:hint="default" w:ascii="Arial" w:hAnsi="Arial" w:cs="Arial"/>
          <w:bCs/>
          <w:iCs/>
          <w:rtl w:val="0"/>
          <w:lang w:val="pt-BR"/>
        </w:rPr>
        <w:t>.</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rtl w:val="0"/>
          <w:lang w:val="pt-BR"/>
        </w:rPr>
        <w:t>3.1.6</w:t>
      </w:r>
      <w:r>
        <w:rPr>
          <w:rFonts w:ascii="Arial" w:hAnsi="Arial" w:cs="Arial"/>
          <w:bCs/>
          <w:iCs/>
          <w:rtl w:val="0"/>
        </w:rPr>
        <w:t xml:space="preserve"> Os bens poderão ser rejeitados, no todo ou em parte, quando em desacordo com as especificações constantes n</w:t>
      </w:r>
      <w:r>
        <w:rPr>
          <w:rFonts w:hint="default" w:ascii="Arial" w:hAnsi="Arial" w:cs="Arial"/>
          <w:bCs/>
          <w:iCs/>
          <w:rtl w:val="0"/>
          <w:lang w:val="pt-BR"/>
        </w:rPr>
        <w:t>o</w:t>
      </w:r>
      <w:bookmarkStart w:id="4" w:name="_GoBack"/>
      <w:bookmarkEnd w:id="4"/>
      <w:r>
        <w:rPr>
          <w:rFonts w:ascii="Arial" w:hAnsi="Arial" w:cs="Arial"/>
          <w:bCs/>
          <w:iCs/>
          <w:rtl w:val="0"/>
        </w:rPr>
        <w:t xml:space="preserve"> Termo de Referência e na proposta, devendo ser substituídos no prazo de 10 (dez) dias, a contar da notificação da contratada, às suas custas, sem prejuízo da aplicação das penalidades.</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rtl w:val="0"/>
        </w:rPr>
      </w:pPr>
      <w:r>
        <w:rPr>
          <w:rFonts w:hint="default" w:ascii="Arial" w:hAnsi="Arial" w:cs="Arial"/>
          <w:bCs/>
          <w:iCs/>
          <w:rtl w:val="0"/>
          <w:lang w:val="pt-BR"/>
        </w:rPr>
        <w:t>3.1.7</w:t>
      </w:r>
      <w:r>
        <w:rPr>
          <w:rFonts w:ascii="Arial" w:hAnsi="Arial" w:cs="Arial"/>
          <w:bCs/>
          <w:iCs/>
          <w:rtl w:val="0"/>
        </w:rPr>
        <w:t xml:space="preserve"> Os bens serão recebidos definitivamente no prazo de 10 (dez) dias, contados do recebimento provisório, após a verificação da qualidade e quantidade do material e consequente aceitação mediante termo detalhado.</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rtl w:val="0"/>
          <w:lang w:val="pt-BR"/>
        </w:rPr>
        <w:t>3.1.8</w:t>
      </w:r>
      <w:r>
        <w:rPr>
          <w:rFonts w:ascii="Arial" w:hAnsi="Arial" w:cs="Arial"/>
          <w:bCs/>
          <w:iCs/>
          <w:rtl w:val="0"/>
        </w:rPr>
        <w:t xml:space="preserve"> Na hipótese de a verificação a que se refere o subitem anterior não ser procedida dentro do prazo fixado, reputar-se-á como realizada, consumando-se o recebimento definitivo no dia do esgotamento do prazo.</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rtl w:val="0"/>
          <w:lang w:val="pt-BR"/>
        </w:rPr>
        <w:t>3.1.9</w:t>
      </w:r>
      <w:r>
        <w:rPr>
          <w:rFonts w:ascii="Arial" w:hAnsi="Arial" w:cs="Arial"/>
          <w:bCs/>
          <w:iCs/>
          <w:rtl w:val="0"/>
        </w:rPr>
        <w:t xml:space="preserve"> O recebimento provisório ou definitivo não excluirá a responsabilidade civil pela solidez e pela segurança do serviço nem a responsabilidade ético-profissional pela perfeita execução do contrato.</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rtl w:val="0"/>
          <w:lang w:val="pt-BR"/>
        </w:rPr>
        <w:t>3.1.10</w:t>
      </w:r>
      <w:r>
        <w:rPr>
          <w:rFonts w:ascii="Arial" w:hAnsi="Arial" w:cs="Arial"/>
          <w:bCs/>
          <w:iCs/>
          <w:rtl w:val="0"/>
        </w:rPr>
        <w:t xml:space="preserve"> O prazo de garantia contratual dos bens, complementar à garantia legal, é de, no mínimo, 12 (doze) meses, ou pelo prazo fornecido pelo fabricante, se superior, contado a partir do primeiro dia útil subsequente à data do recebimento definitivo do objeto. </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rtl w:val="0"/>
          <w:lang w:val="pt-BR"/>
        </w:rPr>
        <w:t>3.1.11</w:t>
      </w:r>
      <w:r>
        <w:rPr>
          <w:rFonts w:ascii="Arial" w:hAnsi="Arial" w:cs="Arial"/>
          <w:bCs/>
          <w:iCs/>
          <w:rtl w:val="0"/>
        </w:rPr>
        <w:t xml:space="preserve">. A garantia será prestada com vistas a manter os equipamentos fornecidos em perfeitas condições de uso, sem qualquer ônus ou custo adicional para o Contratante. </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rtl w:val="0"/>
          <w:lang w:val="pt-BR"/>
        </w:rPr>
        <w:t>3.1.12</w:t>
      </w:r>
      <w:r>
        <w:rPr>
          <w:rFonts w:ascii="Arial" w:hAnsi="Arial" w:cs="Arial"/>
          <w:bCs/>
          <w:iCs/>
          <w:rtl w:val="0"/>
        </w:rPr>
        <w:t xml:space="preserve">. A garantia abrange a realização da manutenção corretiva dos bens pelo próprio Contratado, ou, se for o caso, por meio de assistência técnica autorizada, de acordo com as normas técnicas específicas. </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rtl w:val="0"/>
          <w:lang w:val="pt-BR"/>
        </w:rPr>
        <w:t xml:space="preserve">3.1.13 </w:t>
      </w:r>
      <w:r>
        <w:rPr>
          <w:rFonts w:ascii="Arial" w:hAnsi="Arial" w:cs="Arial"/>
          <w:bCs/>
          <w:iCs/>
          <w:rtl w:val="0"/>
        </w:rPr>
        <w:t xml:space="preserve">Entende-se por manutenção corretiva aquela destinada a corrigir os defeitos apresentados pelos bens, compreendendo a substituição de peças, a realização de ajustes, reparos e correções necessárias. </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rtl w:val="0"/>
          <w:lang w:val="pt-BR"/>
        </w:rPr>
        <w:t xml:space="preserve">3.1.14 </w:t>
      </w:r>
      <w:r>
        <w:rPr>
          <w:rFonts w:ascii="Arial" w:hAnsi="Arial" w:cs="Arial"/>
          <w:bCs/>
          <w:iCs/>
          <w:rtl w:val="0"/>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rtl w:val="0"/>
          <w:lang w:val="pt-BR"/>
        </w:rPr>
        <w:t>3.1.15</w:t>
      </w:r>
      <w:r>
        <w:rPr>
          <w:rFonts w:ascii="Arial" w:hAnsi="Arial" w:cs="Arial"/>
          <w:bCs/>
          <w:iCs/>
          <w:rtl w:val="0"/>
        </w:rPr>
        <w:t xml:space="preserve"> Uma vez notificado, o Contratado realizará a reparação ou substituição dos bens que apresentarem vício ou defeito no prazo de até 10 (dez) dias úteis, contados a partir da data de retirada do equipamento das dependências da Administração pelo Contratado ou pela assistência técnica autorizada. </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rtl w:val="0"/>
          <w:lang w:val="pt-BR"/>
        </w:rPr>
        <w:t>3.1.16</w:t>
      </w:r>
      <w:r>
        <w:rPr>
          <w:rFonts w:ascii="Arial" w:hAnsi="Arial" w:cs="Arial"/>
          <w:bCs/>
          <w:iCs/>
          <w:rtl w:val="0"/>
        </w:rPr>
        <w:t xml:space="preserve"> O prazo indicado no subitem anterior, durante seu transcurso, poderá ser prorrogado uma única vez, por igual período, mediante solicitação escrita e justificada do Contratado, aceita pelo Contratante. </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rtl w:val="0"/>
          <w:lang w:val="pt-BR"/>
        </w:rPr>
        <w:t>3.1.17</w:t>
      </w:r>
      <w:r>
        <w:rPr>
          <w:rFonts w:ascii="Arial" w:hAnsi="Arial" w:cs="Arial"/>
          <w:bCs/>
          <w:iCs/>
          <w:rtl w:val="0"/>
        </w:rPr>
        <w:t xml:space="preserve">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rtl w:val="0"/>
          <w:lang w:val="pt-BR"/>
        </w:rPr>
        <w:t>3.1.18</w:t>
      </w:r>
      <w:r>
        <w:rPr>
          <w:rFonts w:ascii="Arial" w:hAnsi="Arial" w:cs="Arial"/>
          <w:bCs/>
          <w:iCs/>
          <w:rtl w:val="0"/>
        </w:rPr>
        <w:t xml:space="preserve">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rtl w:val="0"/>
          <w:lang w:val="pt-BR"/>
        </w:rPr>
        <w:t>3.1.19</w:t>
      </w:r>
      <w:r>
        <w:rPr>
          <w:rFonts w:ascii="Arial" w:hAnsi="Arial" w:cs="Arial"/>
          <w:bCs/>
          <w:iCs/>
          <w:rtl w:val="0"/>
        </w:rPr>
        <w:t xml:space="preserve"> O custo referente ao transporte dos equipamentos cobertos pela garantia será de responsabilidade do Contratado. </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Cs/>
          <w:rtl w:val="0"/>
        </w:rPr>
      </w:pPr>
      <w:r>
        <w:rPr>
          <w:rFonts w:hint="default" w:ascii="Arial" w:hAnsi="Arial" w:cs="Arial"/>
          <w:bCs/>
          <w:iCs/>
          <w:rtl w:val="0"/>
          <w:lang w:val="pt-BR"/>
        </w:rPr>
        <w:t>3.1.20</w:t>
      </w:r>
      <w:r>
        <w:rPr>
          <w:rFonts w:ascii="Arial" w:hAnsi="Arial" w:cs="Arial"/>
          <w:bCs/>
          <w:iCs/>
          <w:rtl w:val="0"/>
        </w:rPr>
        <w:t xml:space="preserve">  A garantia legal ou contratual do objeto tem prazo de vigência próprio e desvinculado daquele fixado no contrato, permitindo eventual aplicação de penalidades em caso de descumprimento de alguma de suas condições, mesmo depois de expirada a vigência contratual.</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tl w:val="0"/>
          <w:lang w:val="pt-BR"/>
        </w:rPr>
      </w:pPr>
      <w:r>
        <w:rPr>
          <w:rFonts w:hint="default" w:ascii="Arial" w:hAnsi="Arial" w:cs="Arial"/>
          <w:b/>
          <w:bCs w:val="0"/>
          <w:iCs/>
          <w:u w:val="single"/>
          <w:rtl w:val="0"/>
          <w:lang w:val="pt-BR"/>
        </w:rPr>
        <w:t>3.2 MODELO DE GESTÃO DO CONTRATO (art. 6º, XXIII, alínea “f”, da Lei nº 14.133/21)</w:t>
      </w:r>
      <w:r>
        <w:rPr>
          <w:rFonts w:hint="default" w:ascii="Arial" w:hAnsi="Arial" w:cs="Arial"/>
          <w:bCs/>
          <w:iCs/>
          <w:rtl w:val="0"/>
          <w:lang w:val="pt-BR"/>
        </w:rPr>
        <w:t>:</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tl w:val="0"/>
          <w:lang w:val="pt-BR"/>
        </w:rPr>
      </w:pPr>
      <w:r>
        <w:rPr>
          <w:rFonts w:hint="default" w:ascii="Arial" w:hAnsi="Arial" w:cs="Arial"/>
          <w:bCs/>
          <w:iCs/>
          <w:rtl w:val="0"/>
          <w:lang w:val="pt-BR"/>
        </w:rPr>
        <w:t>3.2.1 O contrato deverá ser executado fielmente pelas partes, de acordo com as cláusulas avençadas e as normas da Lei nº 14.133, de 2021, e cada parte responderá pelas consequências de sua inexecução total ou parcial (Lei nº 14.133/2021, art. 115, caput).</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tl w:val="0"/>
          <w:lang w:val="pt-BR"/>
        </w:rPr>
      </w:pPr>
      <w:r>
        <w:rPr>
          <w:rFonts w:hint="default" w:ascii="Arial" w:hAnsi="Arial" w:cs="Arial"/>
          <w:bCs/>
          <w:iCs/>
          <w:rtl w:val="0"/>
          <w:lang w:val="pt-BR"/>
        </w:rPr>
        <w:t>3.2.2 Em caso de impedimento, ordem de paralisação ou suspensão do contrato, o cronograma de execução será prorrogado automaticamente pelo tempo correspondente, anotadas tais circunstâncias mediante simples apostila (Lei nº 14.133/2021, art. 115, §5º).</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tl w:val="0"/>
          <w:lang w:val="pt-BR"/>
        </w:rPr>
      </w:pPr>
      <w:r>
        <w:rPr>
          <w:rFonts w:hint="default" w:ascii="Arial" w:hAnsi="Arial" w:cs="Arial"/>
          <w:bCs/>
          <w:iCs/>
          <w:rtl w:val="0"/>
          <w:lang w:val="pt-BR"/>
        </w:rPr>
        <w:t>3.2.3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tl w:val="0"/>
          <w:lang w:val="pt-BR"/>
        </w:rPr>
      </w:pPr>
      <w:r>
        <w:rPr>
          <w:rFonts w:hint="default" w:ascii="Arial" w:hAnsi="Arial" w:cs="Arial"/>
          <w:bCs/>
          <w:iCs/>
          <w:rtl w:val="0"/>
          <w:lang w:val="pt-BR"/>
        </w:rPr>
        <w:t>3.2.4 Somente o contratado será responsável pelos encargos trabalhistas, previdenciários, fiscais e comerciais resultantes da execução do contrato (Lei nº 14.133/2021, art. 121, caput).</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tl w:val="0"/>
          <w:lang w:val="pt-BR"/>
        </w:rPr>
      </w:pPr>
      <w:r>
        <w:rPr>
          <w:rFonts w:hint="default" w:ascii="Arial" w:hAnsi="Arial" w:cs="Arial"/>
          <w:bCs/>
          <w:iCs/>
          <w:rtl w:val="0"/>
          <w:lang w:val="pt-BR"/>
        </w:rPr>
        <w:t>3.2.5 A inadimplência do contratado em relação aos encargos trabalhistas, fiscais e comerciais não transferirá à Administração a responsabilidade pelo seu pagamento e não poderá onerar o objeto do contrato (Lei nº 14.133/2021, art. 121, §1º).</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tl w:val="0"/>
          <w:lang w:val="pt-BR"/>
        </w:rPr>
      </w:pPr>
      <w:r>
        <w:rPr>
          <w:rFonts w:hint="default" w:ascii="Arial" w:hAnsi="Arial" w:cs="Arial"/>
          <w:bCs/>
          <w:iCs/>
          <w:rtl w:val="0"/>
          <w:lang w:val="pt-BR"/>
        </w:rPr>
        <w:t>3.2.6 As comunicações entre o órgão ou entidade e a contratada devem ser realizadas por escrito sempre que o ato exigir tal formalidade, admitindo-se, excepcionalmente, o uso de mensagem eletrônica para esse fim.</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tl w:val="0"/>
          <w:lang w:val="pt-BR"/>
        </w:rPr>
      </w:pPr>
      <w:r>
        <w:rPr>
          <w:rFonts w:hint="default" w:ascii="Arial" w:hAnsi="Arial" w:cs="Arial"/>
          <w:bCs/>
          <w:iCs/>
          <w:rtl w:val="0"/>
          <w:lang w:val="pt-BR"/>
        </w:rPr>
        <w:t>3.2.7 O órgão ou entidade poderá convocar representante da empresa para adoção de providências que devam ser cumpridas de imediato.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tl w:val="0"/>
          <w:lang w:val="pt-BR"/>
        </w:rPr>
      </w:pPr>
      <w:r>
        <w:rPr>
          <w:rFonts w:hint="default" w:ascii="Arial" w:hAnsi="Arial" w:cs="Arial"/>
          <w:bCs/>
          <w:iCs/>
          <w:rtl w:val="0"/>
          <w:lang w:val="pt-BR"/>
        </w:rPr>
        <w:t xml:space="preserve">3.2.8 </w:t>
      </w:r>
      <w:r>
        <w:rPr>
          <w:rFonts w:hint="default" w:ascii="Arial" w:hAnsi="Arial" w:cs="Arial"/>
          <w:bCs/>
          <w:iCs/>
          <w:rtl w:val="0"/>
          <w:lang w:val="pt-BR"/>
        </w:rPr>
        <w:tab/>
      </w:r>
      <w:r>
        <w:rPr>
          <w:rFonts w:hint="default" w:ascii="Arial" w:hAnsi="Arial" w:cs="Arial"/>
          <w:bCs/>
          <w:iCs/>
          <w:rtl w:val="0"/>
          <w:lang w:val="pt-BR"/>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tl w:val="0"/>
          <w:lang w:val="pt-BR"/>
        </w:rPr>
      </w:pPr>
      <w:r>
        <w:rPr>
          <w:rFonts w:hint="default" w:ascii="Arial" w:hAnsi="Arial" w:cs="Arial"/>
          <w:bCs/>
          <w:iCs/>
          <w:rtl w:val="0"/>
          <w:lang w:val="pt-BR"/>
        </w:rPr>
        <w:t xml:space="preserve">3.2.9 </w:t>
      </w:r>
      <w:r>
        <w:rPr>
          <w:rFonts w:hint="default" w:ascii="Arial" w:hAnsi="Arial" w:cs="Arial"/>
          <w:bCs/>
          <w:iCs/>
          <w:rtl w:val="0"/>
          <w:lang w:val="pt-BR"/>
        </w:rPr>
        <w:tab/>
      </w:r>
      <w:r>
        <w:rPr>
          <w:rFonts w:hint="default" w:ascii="Arial" w:hAnsi="Arial" w:cs="Arial"/>
          <w:bCs/>
          <w:iCs/>
          <w:rtl w:val="0"/>
          <w:lang w:val="pt-BR"/>
        </w:rPr>
        <w:t xml:space="preserve">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nº14.133/21.3.2.10 </w:t>
      </w:r>
      <w:r>
        <w:rPr>
          <w:rFonts w:hint="default" w:ascii="Arial" w:hAnsi="Arial" w:cs="Arial"/>
          <w:bCs/>
          <w:iCs/>
          <w:rtl w:val="0"/>
          <w:lang w:val="pt-BR"/>
        </w:rPr>
        <w:tab/>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tl w:val="0"/>
          <w:lang w:val="pt-BR"/>
        </w:rPr>
      </w:pPr>
      <w:r>
        <w:rPr>
          <w:rFonts w:hint="default" w:ascii="Arial" w:hAnsi="Arial" w:cs="Arial"/>
          <w:bCs/>
          <w:iCs/>
          <w:rtl w:val="0"/>
          <w:lang w:val="pt-BR"/>
        </w:rPr>
        <w:t>3.2.10 Para o acompanhamento, gestão e fiscalização da execução do presente contrato, serão designandos em momento posterior, antes da execução do objeto, agentes públicos gestor/gestor substituto e fiscal/ fiscal substituto.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tl w:val="0"/>
          <w:lang w:val="pt-BR"/>
        </w:rPr>
      </w:pPr>
      <w:r>
        <w:rPr>
          <w:rFonts w:hint="default" w:ascii="Arial" w:hAnsi="Arial" w:cs="Arial"/>
          <w:bCs/>
          <w:iCs/>
          <w:rtl w:val="0"/>
          <w:lang w:val="pt-BR"/>
        </w:rPr>
        <w:t xml:space="preserve">3.2.11 </w:t>
      </w:r>
      <w:r>
        <w:rPr>
          <w:rFonts w:hint="default" w:ascii="Arial" w:hAnsi="Arial" w:cs="Arial"/>
          <w:bCs/>
          <w:iCs/>
          <w:rtl w:val="0"/>
          <w:lang w:val="pt-BR"/>
        </w:rPr>
        <w:tab/>
      </w:r>
      <w:r>
        <w:rPr>
          <w:rFonts w:hint="default" w:ascii="Arial" w:hAnsi="Arial" w:cs="Arial"/>
          <w:bCs/>
          <w:iCs/>
          <w:rtl w:val="0"/>
          <w:lang w:val="pt-BR"/>
        </w:rPr>
        <w:t>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 (Lei nº 14.133/2021, art. 117, §1º).</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tl w:val="0"/>
          <w:lang w:val="pt-BR"/>
        </w:rPr>
      </w:pPr>
      <w:r>
        <w:rPr>
          <w:rFonts w:hint="default" w:ascii="Arial" w:hAnsi="Arial" w:cs="Arial"/>
          <w:bCs/>
          <w:iCs/>
          <w:rtl w:val="0"/>
          <w:lang w:val="pt-BR"/>
        </w:rPr>
        <w:t xml:space="preserve">3.2.12 </w:t>
      </w:r>
      <w:r>
        <w:rPr>
          <w:rFonts w:hint="default" w:ascii="Arial" w:hAnsi="Arial" w:cs="Arial"/>
          <w:bCs/>
          <w:iCs/>
          <w:rtl w:val="0"/>
          <w:lang w:val="pt-BR"/>
        </w:rPr>
        <w:tab/>
      </w:r>
      <w:r>
        <w:rPr>
          <w:rFonts w:hint="default" w:ascii="Arial" w:hAnsi="Arial" w:cs="Arial"/>
          <w:bCs/>
          <w:iCs/>
          <w:rtl w:val="0"/>
          <w:lang w:val="pt-BR"/>
        </w:rPr>
        <w:t>O(s) fiscal(is) designado pela Contratante deverá ter a experiência necessária para o acompanhamento e controle da execução dos serviços e do contrato;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tl w:val="0"/>
          <w:lang w:val="pt-BR"/>
        </w:rPr>
      </w:pPr>
      <w:r>
        <w:rPr>
          <w:rFonts w:hint="default" w:ascii="Arial" w:hAnsi="Arial" w:cs="Arial"/>
          <w:bCs/>
          <w:iCs/>
          <w:rtl w:val="0"/>
          <w:lang w:val="pt-BR"/>
        </w:rPr>
        <w:t xml:space="preserve">3.2.13 </w:t>
      </w:r>
      <w:r>
        <w:rPr>
          <w:rFonts w:hint="default" w:ascii="Arial" w:hAnsi="Arial" w:cs="Arial"/>
          <w:bCs/>
          <w:iCs/>
          <w:rtl w:val="0"/>
          <w:lang w:val="pt-BR"/>
        </w:rPr>
        <w:tab/>
      </w:r>
      <w:r>
        <w:rPr>
          <w:rFonts w:hint="default" w:ascii="Arial" w:hAnsi="Arial" w:cs="Arial"/>
          <w:bCs/>
          <w:iCs/>
          <w:rtl w:val="0"/>
          <w:lang w:val="pt-BR"/>
        </w:rPr>
        <w:t>A verificação da adequação da prestação do serviço deverá ser realizada com base nos critérios previstos neste Termo de Referência;</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tl w:val="0"/>
          <w:lang w:val="pt-BR"/>
        </w:rPr>
      </w:pPr>
      <w:r>
        <w:rPr>
          <w:rFonts w:hint="default" w:ascii="Arial" w:hAnsi="Arial" w:cs="Arial"/>
          <w:bCs/>
          <w:iCs/>
          <w:rtl w:val="0"/>
          <w:lang w:val="pt-BR"/>
        </w:rPr>
        <w:t xml:space="preserve">3.2.14 </w:t>
      </w:r>
      <w:r>
        <w:rPr>
          <w:rFonts w:hint="default" w:ascii="Arial" w:hAnsi="Arial" w:cs="Arial"/>
          <w:bCs/>
          <w:iCs/>
          <w:rtl w:val="0"/>
          <w:lang w:val="pt-BR"/>
        </w:rPr>
        <w:tab/>
      </w:r>
      <w:r>
        <w:rPr>
          <w:rFonts w:hint="default" w:ascii="Arial" w:hAnsi="Arial" w:cs="Arial"/>
          <w:bCs/>
          <w:iCs/>
          <w:rtl w:val="0"/>
          <w:lang w:val="pt-BR"/>
        </w:rPr>
        <w:t>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rtl w:val="0"/>
          <w:lang w:val="pt-BR"/>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
          <w:iCs/>
          <w:color w:val="FF0000"/>
        </w:rPr>
      </w:pPr>
      <w:r>
        <w:rPr>
          <w:rFonts w:ascii="Arial" w:hAnsi="Arial" w:cs="Arial"/>
          <w:bCs/>
          <w:iCs/>
        </w:rPr>
        <w:t>Não será admitida a subcontratação do objeto contratual.</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
          <w:color w:val="FF0000"/>
        </w:rPr>
      </w:pPr>
      <w:r>
        <w:rPr>
          <w:rFonts w:ascii="Arial" w:hAnsi="Arial" w:cs="Arial"/>
          <w:bCs/>
          <w:iCs/>
          <w:color w:val="auto"/>
        </w:rPr>
        <w:t>O valor acima é meramente estimativo, de forma que os pagamentos devidos ao contratado dependerão dos quantitativos efetivamente fornecidos.</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tl w:val="0"/>
          <w:lang w:val="en-US" w:eastAsia="pt-BR"/>
        </w:rPr>
      </w:pPr>
      <w:r>
        <w:rPr>
          <w:rFonts w:hint="default" w:ascii="Arial" w:hAnsi="Arial" w:cs="Arial"/>
          <w:bCs/>
          <w:iCs/>
          <w:color w:val="auto"/>
          <w:rtl w:val="0"/>
          <w:lang w:val="en-US" w:eastAsia="pt-BR"/>
        </w:rPr>
        <w:t>6.1 A Nota Fiscal deverá ser emitida em nome de: Município de Nova Fiburgo, CNPJ: 28.606.630.0001-23, ENDEREÇO: Avenida Alberto Braune, nº 225 - Centro - Nova Friburgo CEP: 28613-001 .</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tl w:val="0"/>
          <w:lang w:val="en-US" w:eastAsia="pt-BR"/>
        </w:rPr>
      </w:pPr>
      <w:r>
        <w:rPr>
          <w:rFonts w:hint="default" w:ascii="Arial" w:hAnsi="Arial" w:cs="Arial"/>
          <w:bCs/>
          <w:iCs/>
          <w:color w:val="auto"/>
          <w:rtl w:val="0"/>
          <w:lang w:val="en-US" w:eastAsia="pt-BR"/>
        </w:rPr>
        <w:t>6.2 Todos os materiais deverão ser entregues à Secretaria de Ciência, Tecnologia, Inovação e Desenvolvimento Econômico, de segunda a sexta das 09h às 17h, situada à Avenida Alberto Braune, nº 225 (Antiga Rodoviária Leopoldina) - Centro - Nova Friburgo/RJ.</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tl w:val="0"/>
          <w:lang w:val="en-US" w:eastAsia="pt-BR"/>
        </w:rPr>
      </w:pP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tl w:val="0"/>
          <w:lang w:val="en-US" w:eastAsia="pt-BR"/>
        </w:rPr>
      </w:pPr>
      <w:r>
        <w:rPr>
          <w:rFonts w:hint="default" w:ascii="Arial" w:hAnsi="Arial" w:cs="Arial"/>
          <w:bCs/>
          <w:iCs/>
          <w:color w:val="auto"/>
          <w:rtl w:val="0"/>
          <w:lang w:val="en-US" w:eastAsia="pt-BR"/>
        </w:rPr>
        <w:t>6.3</w:t>
      </w:r>
      <w:r>
        <w:rPr>
          <w:rFonts w:hint="default" w:ascii="Arial" w:hAnsi="Arial" w:cs="Arial"/>
          <w:bCs/>
          <w:iCs/>
          <w:color w:val="auto"/>
          <w:u w:val="single"/>
          <w:rtl w:val="0"/>
          <w:lang w:val="en-US" w:eastAsia="pt-BR"/>
        </w:rPr>
        <w:tab/>
      </w:r>
      <w:r>
        <w:rPr>
          <w:rFonts w:hint="default" w:ascii="Arial" w:hAnsi="Arial" w:cs="Arial"/>
          <w:bCs/>
          <w:iCs/>
          <w:color w:val="auto"/>
          <w:u w:val="single"/>
          <w:rtl w:val="0"/>
          <w:lang w:val="en-US" w:eastAsia="pt-BR"/>
        </w:rPr>
        <w:t>Da liquidação da despesa:</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tl w:val="0"/>
          <w:lang w:val="en-US" w:eastAsia="pt-BR"/>
        </w:rPr>
      </w:pPr>
      <w:r>
        <w:rPr>
          <w:rFonts w:hint="default" w:ascii="Arial" w:hAnsi="Arial" w:cs="Arial"/>
          <w:bCs/>
          <w:iCs/>
          <w:color w:val="auto"/>
          <w:rtl w:val="0"/>
          <w:lang w:val="en-US" w:eastAsia="pt-BR"/>
        </w:rPr>
        <w:t xml:space="preserve">6.3.1 A liquidação será realizada pela Secretaria Municipal de Fazenda, a partir do cumprimento das obrigações elencadas neste Termo de Referência, em obediência ao Decreto nº 2493, de 07 de novembro de 2023, </w:t>
      </w:r>
      <w:r>
        <w:rPr>
          <w:rFonts w:hint="default" w:ascii="Arial" w:hAnsi="Arial" w:cs="Arial"/>
          <w:bCs/>
          <w:iCs/>
          <w:color w:val="auto"/>
          <w:rtl w:val="0"/>
          <w:lang w:val="en-US" w:eastAsia="pt-BR"/>
        </w:rPr>
        <w:fldChar w:fldCharType="begin"/>
      </w:r>
      <w:r>
        <w:rPr>
          <w:rFonts w:hint="default" w:ascii="Arial" w:hAnsi="Arial" w:cs="Arial"/>
          <w:bCs/>
          <w:iCs/>
          <w:color w:val="auto"/>
          <w:rtl w:val="0"/>
          <w:lang w:val="en-US" w:eastAsia="pt-BR"/>
        </w:rPr>
        <w:instrText xml:space="preserve"> HYPERLINK "https://pmnf.rj.gov.br/paginas-centralizadas/9_64_Legislacoes.html." \h </w:instrText>
      </w:r>
      <w:r>
        <w:rPr>
          <w:rFonts w:hint="default" w:ascii="Arial" w:hAnsi="Arial" w:cs="Arial"/>
          <w:bCs/>
          <w:iCs/>
          <w:color w:val="auto"/>
          <w:rtl w:val="0"/>
          <w:lang w:val="en-US" w:eastAsia="pt-BR"/>
        </w:rPr>
        <w:fldChar w:fldCharType="separate"/>
      </w:r>
      <w:r>
        <w:rPr>
          <w:rFonts w:hint="default" w:ascii="Arial" w:hAnsi="Arial" w:cs="Arial"/>
          <w:bCs/>
          <w:iCs/>
          <w:color w:val="auto"/>
          <w:rtl w:val="0"/>
          <w:lang w:val="en-US" w:eastAsia="pt-BR"/>
        </w:rPr>
        <w:t>https://pmnf.rj.gov.br/paginas-centralizadas/9_64_Legislacoes.html.</w:t>
      </w:r>
      <w:r>
        <w:rPr>
          <w:rFonts w:hint="default" w:ascii="Arial" w:hAnsi="Arial" w:cs="Arial"/>
          <w:bCs/>
          <w:iCs/>
          <w:color w:val="auto"/>
          <w:rtl w:val="0"/>
          <w:lang w:val="en-US" w:eastAsia="pt-BR"/>
        </w:rPr>
        <w:fldChar w:fldCharType="end"/>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tl w:val="0"/>
          <w:lang w:val="en-US" w:eastAsia="pt-BR"/>
        </w:rPr>
      </w:pPr>
      <w:r>
        <w:rPr>
          <w:rFonts w:hint="default" w:ascii="Arial" w:hAnsi="Arial" w:cs="Arial"/>
          <w:bCs/>
          <w:iCs/>
          <w:color w:val="auto"/>
          <w:rtl w:val="0"/>
          <w:lang w:val="en-US" w:eastAsia="pt-BR"/>
        </w:rPr>
        <w:t>6.3.2 Deverá ser observado no momento da emissão do Documento Fiscal e na liquidação da despesa os dispositivos do Decreto Municipal nº 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2012.https://pmnf.rj.gov.br/paginas-centralizadas/9_64_Legislacoes.html</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tl w:val="0"/>
          <w:lang w:val="en-US" w:eastAsia="pt-BR"/>
        </w:rPr>
      </w:pPr>
      <w:r>
        <w:rPr>
          <w:rFonts w:hint="default" w:ascii="Arial" w:hAnsi="Arial" w:cs="Arial"/>
          <w:bCs/>
          <w:iCs/>
          <w:color w:val="auto"/>
          <w:rtl w:val="0"/>
          <w:lang w:val="en-US" w:eastAsia="pt-BR"/>
        </w:rPr>
        <w:t xml:space="preserve">6.4 </w:t>
      </w:r>
      <w:r>
        <w:rPr>
          <w:rFonts w:hint="default" w:ascii="Arial" w:hAnsi="Arial" w:cs="Arial"/>
          <w:bCs/>
          <w:iCs/>
          <w:color w:val="auto"/>
          <w:rtl w:val="0"/>
          <w:lang w:val="en-US" w:eastAsia="pt-BR"/>
        </w:rPr>
        <w:tab/>
      </w:r>
      <w:r>
        <w:rPr>
          <w:rFonts w:hint="default" w:ascii="Arial" w:hAnsi="Arial" w:cs="Arial"/>
          <w:bCs/>
          <w:iCs/>
          <w:color w:val="auto"/>
          <w:u w:val="single"/>
          <w:rtl w:val="0"/>
          <w:lang w:val="en-US" w:eastAsia="pt-BR"/>
        </w:rPr>
        <w:t>Do pagamento da despesa:</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tl w:val="0"/>
          <w:lang w:val="en-US" w:eastAsia="pt-BR"/>
        </w:rPr>
      </w:pPr>
      <w:r>
        <w:rPr>
          <w:rFonts w:hint="default" w:ascii="Arial" w:hAnsi="Arial" w:cs="Arial"/>
          <w:bCs/>
          <w:iCs/>
          <w:color w:val="auto"/>
          <w:rtl w:val="0"/>
          <w:lang w:val="en-US" w:eastAsia="pt-BR"/>
        </w:rPr>
        <w:t>6.4.1 O pagamento será efetuado conforme estabelecido no  Decreto Municipal nº 2493, de 07 de novembro de 2023, desde que as certidões listadas abaixo estejam dentro da validade:</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tl w:val="0"/>
          <w:lang w:val="en-US" w:eastAsia="pt-BR"/>
        </w:rPr>
      </w:pPr>
      <w:r>
        <w:rPr>
          <w:rFonts w:hint="default" w:ascii="Arial" w:hAnsi="Arial" w:cs="Arial"/>
          <w:bCs/>
          <w:iCs/>
          <w:color w:val="auto"/>
          <w:rtl w:val="0"/>
          <w:lang w:val="en-US" w:eastAsia="pt-BR"/>
        </w:rPr>
        <w:t>Negativa de Débitos Trabalhistas; Fazenda Federal – abrange as contribuições sociais; FGTS; PGE – referente à Dívida Ativa Estadual; Municipal – referente ao ISS e Dívida Ativa; Estadual CND – referente ao ICMS.</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tl w:val="0"/>
          <w:lang w:val="en-US" w:eastAsia="pt-BR"/>
        </w:rPr>
      </w:pPr>
      <w:r>
        <w:rPr>
          <w:rFonts w:hint="default" w:ascii="Arial" w:hAnsi="Arial" w:cs="Arial"/>
          <w:bCs/>
          <w:iCs/>
          <w:color w:val="auto"/>
          <w:rtl w:val="0"/>
          <w:lang w:val="en-US" w:eastAsia="pt-BR"/>
        </w:rPr>
        <w:t xml:space="preserve">6.4.2 A Nota Fiscal  deverá conter a identificação do Banco, número da Agência e da Conta Corrente, para que possibilite o CONTRATANTE efetuar o pagamento do valor devido; </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tl w:val="0"/>
          <w:lang w:val="en-US" w:eastAsia="pt-BR"/>
        </w:rPr>
      </w:pPr>
      <w:r>
        <w:rPr>
          <w:rFonts w:hint="default" w:ascii="Arial" w:hAnsi="Arial" w:cs="Arial"/>
          <w:bCs/>
          <w:iCs/>
          <w:color w:val="auto"/>
          <w:rtl w:val="0"/>
          <w:lang w:val="en-US" w:eastAsia="pt-BR"/>
        </w:rPr>
        <w:t>6.4.3 Na ocorrência de rejeição da(s) Nota(s) Fiscal (s), motivada por erro ou incorreções, o prazo para pagamento estipulado acima passará a ser contado a partir da data de sua reapresentação.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tl w:val="0"/>
          <w:lang w:val="en-US" w:eastAsia="pt-BR"/>
        </w:rPr>
      </w:pPr>
      <w:r>
        <w:rPr>
          <w:rFonts w:hint="default" w:ascii="Arial" w:hAnsi="Arial" w:cs="Arial"/>
          <w:bCs/>
          <w:iCs/>
          <w:color w:val="auto"/>
          <w:rtl w:val="0"/>
          <w:lang w:val="en-US" w:eastAsia="pt-BR"/>
        </w:rPr>
        <w:t>6.4.4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tl w:val="0"/>
          <w:lang w:val="en-US" w:eastAsia="pt-BR"/>
        </w:rPr>
      </w:pPr>
      <w:r>
        <w:rPr>
          <w:rFonts w:hint="default" w:ascii="Arial" w:hAnsi="Arial" w:cs="Arial"/>
          <w:bCs/>
          <w:iCs/>
          <w:color w:val="auto"/>
          <w:rtl w:val="0"/>
          <w:lang w:val="en-US" w:eastAsia="pt-BR"/>
        </w:rPr>
        <w:t>6.4.5.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rtl w:val="0"/>
          <w:lang w:val="en-US"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
          <w:color w:val="FF0000"/>
        </w:rPr>
      </w:pPr>
      <w:r>
        <w:rPr>
          <w:rFonts w:ascii="Arial" w:hAnsi="Arial" w:cs="Arial"/>
          <w:bCs/>
          <w:iCs/>
        </w:rPr>
        <w:t>O reajuste será realizado por apostilamento.</w:t>
      </w:r>
    </w:p>
    <w:p>
      <w:pPr>
        <w:pStyle w:val="19"/>
        <w:widowControl/>
        <w:numPr>
          <w:ilvl w:val="0"/>
          <w:numId w:val="0"/>
        </w:numPr>
        <w:tabs>
          <w:tab w:val="left" w:pos="426"/>
        </w:tabs>
        <w:autoSpaceDE/>
        <w:autoSpaceDN/>
        <w:spacing w:before="120" w:after="120" w:line="276" w:lineRule="auto"/>
        <w:ind w:leftChars="0"/>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numPr>
          <w:ilvl w:val="0"/>
          <w:numId w:val="0"/>
        </w:numPr>
        <w:tabs>
          <w:tab w:val="left" w:pos="426"/>
        </w:tabs>
        <w:autoSpaceDE/>
        <w:autoSpaceDN/>
        <w:spacing w:before="120" w:after="120" w:line="276" w:lineRule="auto"/>
        <w:ind w:left="142" w:leftChars="0"/>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 xml:space="preserve">Guardar sigilo sobre todas as informações obtidas em decorrência do cumprimento do contrato; </w:t>
      </w:r>
    </w:p>
    <w:p>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pPr>
        <w:pStyle w:val="45"/>
        <w:numPr>
          <w:ilvl w:val="1"/>
          <w:numId w:val="3"/>
        </w:numPr>
        <w:rPr>
          <w:rFonts w:ascii="Arial" w:hAnsi="Arial" w:cs="Arial" w:eastAsiaTheme="majorEastAsia"/>
          <w:b/>
          <w:bCs/>
          <w:lang w:val="pt-BR" w:eastAsia="pt-BR"/>
        </w:rPr>
      </w:pPr>
      <w:r>
        <w:rPr>
          <w:sz w:val="22"/>
          <w:szCs w:val="22"/>
        </w:rPr>
        <w:t>Cumprir, além dos postulados legais vigentes de âmbito federal, estadual ou municipal, as normas de segurança do contratante.</w:t>
      </w:r>
    </w:p>
    <w:p>
      <w:pPr>
        <w:pStyle w:val="45"/>
        <w:numPr>
          <w:ilvl w:val="0"/>
          <w:numId w:val="0"/>
        </w:numPr>
        <w:ind w:leftChars="0"/>
        <w:rPr>
          <w:rFonts w:ascii="Arial" w:hAnsi="Arial" w:cs="Arial" w:eastAsiaTheme="majorEastAsia"/>
          <w:b/>
          <w:bCs/>
          <w:lang w:val="pt-BR"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pPr>
        <w:pStyle w:val="45"/>
        <w:numPr>
          <w:ilvl w:val="1"/>
          <w:numId w:val="3"/>
        </w:numPr>
        <w:rPr>
          <w:rFonts w:ascii="Arial" w:hAnsi="Arial" w:cs="Arial"/>
          <w:bCs/>
          <w:i/>
          <w:color w:val="FF0000"/>
          <w:lang w:val="pt-BR"/>
        </w:rPr>
      </w:pPr>
      <w:r>
        <w:rPr>
          <w:color w:val="auto"/>
          <w:sz w:val="22"/>
          <w:szCs w:val="22"/>
          <w:lang w:val="pt-BR"/>
        </w:rPr>
        <w:t xml:space="preserve">A contratação conta com garantia de execução, nos moldes do </w:t>
      </w:r>
      <w:r>
        <w:rPr>
          <w:color w:val="auto"/>
          <w:sz w:val="22"/>
          <w:szCs w:val="22"/>
        </w:rPr>
        <w:fldChar w:fldCharType="begin"/>
      </w:r>
      <w:r>
        <w:rPr>
          <w:color w:val="auto"/>
          <w:sz w:val="22"/>
          <w:szCs w:val="22"/>
        </w:rPr>
        <w:instrText xml:space="preserve"> HYPERLINK "http://www.planalto.gov.br/ccivil_03/_ato2019-2022/2021/lei/L14133.htm" \l "art96" </w:instrText>
      </w:r>
      <w:r>
        <w:rPr>
          <w:color w:val="auto"/>
          <w:sz w:val="22"/>
          <w:szCs w:val="22"/>
        </w:rPr>
        <w:fldChar w:fldCharType="separate"/>
      </w:r>
      <w:r>
        <w:rPr>
          <w:color w:val="auto"/>
          <w:sz w:val="22"/>
          <w:szCs w:val="22"/>
          <w:lang w:val="pt-BR"/>
        </w:rPr>
        <w:t>art. 96 da Lei nº 14.133</w:t>
      </w:r>
      <w:r>
        <w:rPr>
          <w:color w:val="auto"/>
          <w:sz w:val="22"/>
          <w:szCs w:val="22"/>
          <w:lang w:val="pt-BR"/>
        </w:rPr>
        <w:fldChar w:fldCharType="end"/>
      </w:r>
      <w:r>
        <w:rPr>
          <w:color w:val="auto"/>
          <w:sz w:val="22"/>
          <w:szCs w:val="22"/>
          <w:lang w:val="pt-BR"/>
        </w:rPr>
        <w:t xml:space="preserve">, de 2021, em valor correspondente a </w:t>
      </w:r>
      <w:r>
        <w:rPr>
          <w:color w:val="auto"/>
          <w:sz w:val="22"/>
          <w:szCs w:val="22"/>
          <w:rtl w:val="0"/>
        </w:rPr>
        <w:t>5%</w:t>
      </w:r>
      <w:r>
        <w:rPr>
          <w:rFonts w:hint="default"/>
          <w:color w:val="auto"/>
          <w:sz w:val="22"/>
          <w:szCs w:val="22"/>
          <w:rtl w:val="0"/>
          <w:lang w:val="pt-BR"/>
        </w:rPr>
        <w:t xml:space="preserve"> (cinco por cento)</w:t>
      </w:r>
      <w:r>
        <w:rPr>
          <w:color w:val="auto"/>
          <w:sz w:val="22"/>
          <w:szCs w:val="22"/>
          <w:rtl w:val="0"/>
        </w:rPr>
        <w:t xml:space="preserve"> do valor contratual, conforme regras previstas no contrato.</w:t>
      </w:r>
    </w:p>
    <w:p>
      <w:pPr>
        <w:pStyle w:val="45"/>
        <w:numPr>
          <w:ilvl w:val="0"/>
          <w:numId w:val="0"/>
        </w:numPr>
        <w:ind w:leftChars="0"/>
        <w:rPr>
          <w:rFonts w:ascii="Arial" w:hAnsi="Arial" w:cs="Arial"/>
          <w:bCs/>
          <w:i/>
          <w:color w:val="FF0000"/>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3" w:name="_Hlk114504069"/>
      <w:r>
        <w:rPr>
          <w:rStyle w:val="9"/>
          <w:rFonts w:ascii="Arial" w:hAnsi="Arial" w:eastAsia="Arial" w:cs="Arial"/>
        </w:rPr>
        <w:t>Lei nº 14.133, de 2021</w:t>
      </w:r>
      <w:bookmarkEnd w:id="3"/>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pPr>
        <w:pStyle w:val="19"/>
        <w:widowControl/>
        <w:numPr>
          <w:ilvl w:val="0"/>
          <w:numId w:val="0"/>
        </w:numPr>
        <w:tabs>
          <w:tab w:val="left" w:pos="426"/>
        </w:tabs>
        <w:autoSpaceDE/>
        <w:autoSpaceDN/>
        <w:spacing w:before="120" w:after="120" w:line="276" w:lineRule="auto"/>
        <w:ind w:leftChars="0"/>
        <w:jc w:val="both"/>
        <w:rPr>
          <w:rFonts w:ascii="Arial" w:hAnsi="Arial" w:cs="Arial"/>
        </w:rPr>
      </w:pP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19"/>
        <w:widowControl/>
        <w:numPr>
          <w:ilvl w:val="0"/>
          <w:numId w:val="0"/>
        </w:numPr>
        <w:tabs>
          <w:tab w:val="left" w:pos="426"/>
        </w:tabs>
        <w:autoSpaceDE/>
        <w:autoSpaceDN/>
        <w:spacing w:before="120" w:after="120" w:line="276" w:lineRule="auto"/>
        <w:ind w:leftChars="0"/>
        <w:jc w:val="both"/>
        <w:rPr>
          <w:rFonts w:ascii="Arial" w:hAnsi="Arial" w:cs="Arial"/>
        </w:rPr>
      </w:pP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hint="default" w:ascii="Arial" w:hAnsi="Arial" w:cs="Arial"/>
          <w:lang w:val="pt-BR"/>
        </w:rPr>
        <w:t xml:space="preserve"> </w:t>
      </w:r>
      <w:r>
        <w:rPr>
          <w:rFonts w:ascii="Arial" w:hAnsi="Arial" w:cs="Arial"/>
          <w:rtl w:val="0"/>
        </w:rPr>
        <w:t>As despesas decorrentes da presente contratação correrão à conta de recursos específicos consignados no Orçamento do Município, na forma abaixo:</w:t>
      </w:r>
    </w:p>
    <w:tbl>
      <w:tblPr>
        <w:tblStyle w:val="61"/>
        <w:tblW w:w="912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65"/>
        <w:gridCol w:w="2761"/>
        <w:gridCol w:w="1875"/>
        <w:gridCol w:w="16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ascii="Arial" w:hAnsi="Arial" w:cs="Arial"/>
                <w:b/>
                <w:bCs/>
                <w:rtl w:val="0"/>
              </w:rPr>
              <w:t>Órgão/Unidade Orçamentária</w:t>
            </w:r>
          </w:p>
        </w:tc>
        <w:tc>
          <w:tcPr>
            <w:tcW w:w="276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ascii="Arial" w:hAnsi="Arial" w:cs="Arial"/>
                <w:b/>
                <w:bCs/>
                <w:rtl w:val="0"/>
              </w:rPr>
              <w:t>Programa de Trabalho</w:t>
            </w:r>
          </w:p>
        </w:tc>
        <w:tc>
          <w:tcPr>
            <w:tcW w:w="187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ascii="Arial" w:hAnsi="Arial" w:cs="Arial"/>
                <w:b/>
                <w:bCs/>
                <w:rtl w:val="0"/>
              </w:rPr>
              <w:t>Fonte de Recursos</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ascii="Arial" w:hAnsi="Arial" w:cs="Arial"/>
                <w:b/>
                <w:bCs/>
                <w:rtl w:val="0"/>
              </w:rPr>
              <w:t>Natureza da Despesa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ascii="Arial" w:hAnsi="Arial" w:cs="Arial"/>
                <w:rtl w:val="0"/>
              </w:rPr>
              <w:t>Secretaria de Ciência, Tecnologia, Inovação e Desenvolvimento Econômico</w:t>
            </w:r>
          </w:p>
        </w:tc>
        <w:tc>
          <w:tcPr>
            <w:tcW w:w="276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19"/>
              <w:widowControl/>
              <w:numPr>
                <w:ilvl w:val="0"/>
                <w:numId w:val="0"/>
              </w:numPr>
              <w:tabs>
                <w:tab w:val="left" w:pos="426"/>
              </w:tabs>
              <w:autoSpaceDE/>
              <w:autoSpaceDN/>
              <w:spacing w:before="120" w:after="120" w:line="276" w:lineRule="auto"/>
              <w:ind w:leftChars="0"/>
              <w:jc w:val="both"/>
              <w:rPr>
                <w:rFonts w:ascii="Arial" w:hAnsi="Arial" w:cs="Arial"/>
              </w:rPr>
            </w:pPr>
          </w:p>
          <w:p>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ascii="Arial" w:hAnsi="Arial" w:cs="Arial"/>
                <w:rtl w:val="0"/>
              </w:rPr>
              <w:t xml:space="preserve"> 56001.1136300312.319</w:t>
            </w:r>
          </w:p>
        </w:tc>
        <w:tc>
          <w:tcPr>
            <w:tcW w:w="18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ascii="Arial" w:hAnsi="Arial" w:cs="Arial"/>
                <w:rtl w:val="0"/>
              </w:rPr>
              <w:t>170500000020</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pStyle w:val="19"/>
              <w:widowControl/>
              <w:numPr>
                <w:ilvl w:val="0"/>
                <w:numId w:val="0"/>
              </w:numPr>
              <w:tabs>
                <w:tab w:val="left" w:pos="426"/>
              </w:tabs>
              <w:autoSpaceDE/>
              <w:autoSpaceDN/>
              <w:spacing w:before="120" w:after="120" w:line="276" w:lineRule="auto"/>
              <w:ind w:leftChars="0"/>
              <w:jc w:val="both"/>
              <w:rPr>
                <w:rFonts w:ascii="Arial" w:hAnsi="Arial" w:cs="Arial"/>
              </w:rPr>
            </w:pPr>
          </w:p>
          <w:p>
            <w:pPr>
              <w:pStyle w:val="19"/>
              <w:widowControl/>
              <w:numPr>
                <w:ilvl w:val="0"/>
                <w:numId w:val="0"/>
              </w:numPr>
              <w:tabs>
                <w:tab w:val="left" w:pos="426"/>
              </w:tabs>
              <w:autoSpaceDE/>
              <w:autoSpaceDN/>
              <w:spacing w:before="120" w:after="120" w:line="276" w:lineRule="auto"/>
              <w:ind w:leftChars="0"/>
              <w:jc w:val="both"/>
              <w:rPr>
                <w:rFonts w:ascii="Arial" w:hAnsi="Arial" w:cs="Arial"/>
              </w:rPr>
            </w:pPr>
            <w:r>
              <w:rPr>
                <w:rFonts w:ascii="Arial" w:hAnsi="Arial" w:cs="Arial"/>
                <w:rtl w:val="0"/>
              </w:rPr>
              <w:t>4.4.9.0.52.18</w:t>
            </w:r>
          </w:p>
        </w:tc>
      </w:tr>
    </w:tbl>
    <w:p>
      <w:pPr>
        <w:pStyle w:val="19"/>
        <w:widowControl/>
        <w:numPr>
          <w:ilvl w:val="0"/>
          <w:numId w:val="0"/>
        </w:numPr>
        <w:tabs>
          <w:tab w:val="left" w:pos="426"/>
        </w:tabs>
        <w:autoSpaceDE/>
        <w:autoSpaceDN/>
        <w:spacing w:before="120" w:after="120" w:line="276" w:lineRule="auto"/>
        <w:ind w:leftChars="0"/>
        <w:jc w:val="both"/>
        <w:rPr>
          <w:rFonts w:ascii="Arial" w:hAnsi="Arial" w:cs="Arial"/>
        </w:rPr>
      </w:pPr>
    </w:p>
    <w:p>
      <w:pPr>
        <w:pStyle w:val="19"/>
        <w:widowControl/>
        <w:numPr>
          <w:ilvl w:val="1"/>
          <w:numId w:val="3"/>
        </w:numPr>
        <w:tabs>
          <w:tab w:val="left" w:pos="426"/>
        </w:tabs>
        <w:autoSpaceDE/>
        <w:autoSpaceDN/>
        <w:spacing w:before="120" w:after="120" w:line="276" w:lineRule="auto"/>
        <w:ind w:left="0" w:firstLine="0"/>
        <w:jc w:val="both"/>
        <w:rPr>
          <w:rFonts w:hint="default" w:ascii="Arial" w:hAnsi="Arial" w:cs="Arial"/>
          <w:b w:val="0"/>
          <w:bCs w:val="0"/>
          <w:sz w:val="22"/>
          <w:szCs w:val="22"/>
          <w:lang w:val="pt-BR"/>
        </w:rPr>
      </w:pPr>
      <w:r>
        <w:rPr>
          <w:rFonts w:ascii="Arial" w:hAnsi="Arial" w:cs="Arial"/>
          <w:rtl w:val="0"/>
        </w:rPr>
        <w:t xml:space="preserve"> A dotação relativa aos exercícios financeiros subsequentes será indicada após aprovação da Lei Orçamentária respectiva e liberação dos créditos correspondentes, mediante apostilamento.</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hint="default" w:ascii="Arial" w:hAnsi="Arial" w:cs="Arial"/>
          <w:sz w:val="22"/>
          <w:szCs w:val="22"/>
          <w:lang w:val="pt-BR"/>
        </w:rPr>
        <w:t xml:space="preserve"> </w:t>
      </w:r>
      <w:r>
        <w:rPr>
          <w:rFonts w:ascii="Arial" w:hAnsi="Arial" w:cs="Arial"/>
          <w:sz w:val="22"/>
          <w:szCs w:val="22"/>
        </w:rPr>
        <w:t xml:space="preserve">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pPr>
        <w:spacing w:before="120" w:after="120" w:line="276" w:lineRule="auto"/>
        <w:jc w:val="both"/>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jc w:val="center"/>
        <w:rPr>
          <w:rFonts w:ascii="Arial" w:hAnsi="Arial" w:cs="Arial"/>
          <w:bCs/>
        </w:rPr>
      </w:pPr>
    </w:p>
    <w:p>
      <w:pPr>
        <w:spacing w:after="120"/>
        <w:jc w:val="center"/>
        <w:rPr>
          <w:rFonts w:ascii="Arial" w:hAnsi="Arial" w:cs="Arial"/>
          <w:bCs/>
        </w:rPr>
      </w:pPr>
    </w:p>
    <w:p>
      <w:pPr>
        <w:spacing w:after="120"/>
        <w:jc w:val="center"/>
        <w:rPr>
          <w:rFonts w:ascii="Arial" w:hAnsi="Arial" w:cs="Arial"/>
          <w:bCs/>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p>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left="-440" w:leftChars="-200" w:firstLine="439" w:firstLineChars="157"/>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58815" cy="951865"/>
          <wp:effectExtent l="0" t="0" r="0" b="0"/>
          <wp:docPr id="1" name="Imagem 1" descr="Secretaria de Ciência, Tecnologia, Inovação e Desenvolvimento Econôm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Ciência, Tecnologia, Inovação e Desenvolvimento Econômico"/>
                  <pic:cNvPicPr>
                    <a:picLocks noChangeAspect="1"/>
                  </pic:cNvPicPr>
                </pic:nvPicPr>
                <pic:blipFill>
                  <a:blip r:embed="rId1"/>
                  <a:stretch>
                    <a:fillRect/>
                  </a:stretch>
                </pic:blipFill>
                <pic:spPr>
                  <a:xfrm>
                    <a:off x="0" y="0"/>
                    <a:ext cx="5758815" cy="951865"/>
                  </a:xfrm>
                  <a:prstGeom prst="rect">
                    <a:avLst/>
                  </a:prstGeom>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color w:val="auto"/>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1826C37"/>
    <w:rsid w:val="0937556B"/>
    <w:rsid w:val="11CC2ACE"/>
    <w:rsid w:val="17F01268"/>
    <w:rsid w:val="1AF72D93"/>
    <w:rsid w:val="1B680005"/>
    <w:rsid w:val="1FD12E07"/>
    <w:rsid w:val="20675F45"/>
    <w:rsid w:val="238D56FA"/>
    <w:rsid w:val="23D84867"/>
    <w:rsid w:val="249E0AA2"/>
    <w:rsid w:val="28E47E39"/>
    <w:rsid w:val="30257BD7"/>
    <w:rsid w:val="319566E7"/>
    <w:rsid w:val="346B559D"/>
    <w:rsid w:val="367D0A93"/>
    <w:rsid w:val="3C4D19A5"/>
    <w:rsid w:val="3C9967A2"/>
    <w:rsid w:val="3D361311"/>
    <w:rsid w:val="3DCC5572"/>
    <w:rsid w:val="43166AAC"/>
    <w:rsid w:val="47584142"/>
    <w:rsid w:val="4F2E6D4B"/>
    <w:rsid w:val="501F24D5"/>
    <w:rsid w:val="54D45225"/>
    <w:rsid w:val="56322DED"/>
    <w:rsid w:val="58D21C48"/>
    <w:rsid w:val="5A7C70CB"/>
    <w:rsid w:val="5BC7564F"/>
    <w:rsid w:val="5C237373"/>
    <w:rsid w:val="5CB47325"/>
    <w:rsid w:val="5E45203A"/>
    <w:rsid w:val="5E72057F"/>
    <w:rsid w:val="623C6820"/>
    <w:rsid w:val="655965EF"/>
    <w:rsid w:val="66197E16"/>
    <w:rsid w:val="68532C20"/>
    <w:rsid w:val="6C1362D3"/>
    <w:rsid w:val="749B1192"/>
    <w:rsid w:val="7771703D"/>
    <w:rsid w:val="77B2358A"/>
    <w:rsid w:val="7B683207"/>
    <w:rsid w:val="7E452441"/>
    <w:rsid w:val="7E570DB2"/>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 w:type="table" w:customStyle="1" w:styleId="61">
    <w:name w:val="_Style 67"/>
    <w:basedOn w:val="62"/>
    <w:qFormat/>
    <w:uiPriority w:val="0"/>
    <w:tblPr>
      <w:tblCellMar>
        <w:top w:w="0" w:type="dxa"/>
        <w:left w:w="108" w:type="dxa"/>
        <w:bottom w:w="0" w:type="dxa"/>
        <w:right w:w="108" w:type="dxa"/>
      </w:tblCellMar>
    </w:tblPr>
  </w:style>
  <w:style w:type="table" w:customStyle="1" w:styleId="62">
    <w:name w:val="TableNormal"/>
    <w:qFormat/>
    <w:uiPriority w:val="0"/>
    <w:tblPr>
      <w:tblCellMar>
        <w:top w:w="100" w:type="dxa"/>
        <w:left w:w="100" w:type="dxa"/>
        <w:bottom w:w="100" w:type="dxa"/>
        <w:right w:w="10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15</Pages>
  <Words>5363</Words>
  <Characters>28963</Characters>
  <Lines>241</Lines>
  <Paragraphs>68</Paragraphs>
  <TotalTime>4</TotalTime>
  <ScaleCrop>false</ScaleCrop>
  <LinksUpToDate>false</LinksUpToDate>
  <CharactersWithSpaces>34258</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mariana.topini</cp:lastModifiedBy>
  <cp:lastPrinted>2023-08-22T17:19:00Z</cp:lastPrinted>
  <dcterms:modified xsi:type="dcterms:W3CDTF">2026-04-14T14:32:14Z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AA5E36BE2C9D4DA8923CD79FAA21EA6C_12</vt:lpwstr>
  </property>
</Properties>
</file>